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01" w:rsidRDefault="009907C0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ТЕХНИЧЕСКА СПЕЦИФИКАЦИЯ</w:t>
      </w:r>
    </w:p>
    <w:p w:rsidR="00A56E01" w:rsidRDefault="009907C0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</w:rPr>
        <w:t xml:space="preserve">за доставка по проект: “Съвместно управление на риска и партньорство в граничния регион </w:t>
      </w:r>
      <w:r>
        <w:rPr>
          <w:rFonts w:ascii="Trebuchet MS" w:hAnsi="Trebuchet MS" w:cs="Times New Roman"/>
          <w:bCs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</w:rPr>
        <w:t xml:space="preserve">” </w:t>
      </w:r>
      <w:r>
        <w:rPr>
          <w:rFonts w:ascii="Trebuchet MS" w:hAnsi="Trebuchet MS" w:cs="Times New Roman"/>
          <w:b/>
        </w:rPr>
        <w:t>– JORIMA</w:t>
      </w:r>
    </w:p>
    <w:p w:rsidR="00A56E01" w:rsidRDefault="009907C0">
      <w:pPr>
        <w:jc w:val="both"/>
        <w:rPr>
          <w:rFonts w:ascii="Trebuchet MS" w:hAnsi="Trebuchet MS" w:cs="Times New Roman"/>
          <w:bCs/>
        </w:rPr>
      </w:pPr>
      <w:r>
        <w:rPr>
          <w:rFonts w:ascii="Trebuchet MS" w:hAnsi="Trebuchet MS" w:cs="Times New Roman"/>
          <w:b/>
        </w:rPr>
        <w:t xml:space="preserve">Обособена позиция №1: „Доставка на ролков </w:t>
      </w:r>
      <w:r>
        <w:rPr>
          <w:rFonts w:ascii="Trebuchet MS" w:hAnsi="Trebuchet MS" w:cs="Times New Roman"/>
          <w:b/>
        </w:rPr>
        <w:t>контейнер с монтирани в него бензинов електрогенератор и пневматична телескопична мачта“</w:t>
      </w:r>
      <w:r>
        <w:rPr>
          <w:rFonts w:ascii="Trebuchet MS" w:hAnsi="Trebuchet MS" w:cs="Times New Roman"/>
          <w:bCs/>
        </w:rPr>
        <w:t>.</w:t>
      </w:r>
    </w:p>
    <w:p w:rsidR="00A56E01" w:rsidRDefault="009907C0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</w:rPr>
        <w:t>Настоящите  технически спецификации определят  минималните изисквания  за изпълнение на обществената поръчка. Участниците могат да представят по-добри технически пара</w:t>
      </w:r>
      <w:r>
        <w:rPr>
          <w:rFonts w:ascii="Trebuchet MS" w:eastAsia="Times New Roman" w:hAnsi="Trebuchet MS" w:cs="Times New Roman"/>
        </w:rPr>
        <w:t xml:space="preserve">метри в техническото си предложение. </w:t>
      </w:r>
      <w:r>
        <w:rPr>
          <w:rFonts w:ascii="Trebuchet MS" w:eastAsia="Times New Roman" w:hAnsi="Trebuchet MS" w:cs="Times New Roman"/>
          <w:lang w:eastAsia="bg-BG"/>
        </w:rPr>
        <w:t>Неспазването на минималните изисквания на Възложителя води до отстраняване на участника от процедурата. За всеки конкретно посочен в настоящите технически спецификации стандарт, спецификация, техническо одобрение или др</w:t>
      </w:r>
      <w:r>
        <w:rPr>
          <w:rFonts w:ascii="Trebuchet MS" w:eastAsia="Times New Roman" w:hAnsi="Trebuchet MS" w:cs="Times New Roman"/>
          <w:lang w:eastAsia="bg-BG"/>
        </w:rPr>
        <w:t xml:space="preserve">уга техническа референция,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За всеки посочен в настоящите технически спецификации конкретен модел, източник, процес, търговска марка, патент, тип, произход или производство,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</w:t>
      </w:r>
      <w:r>
        <w:rPr>
          <w:rFonts w:ascii="Trebuchet MS" w:eastAsia="Times New Roman" w:hAnsi="Trebuchet MS" w:cs="Times New Roman"/>
          <w:lang w:eastAsia="bg-BG"/>
        </w:rPr>
        <w:t xml:space="preserve">а. </w:t>
      </w:r>
    </w:p>
    <w:p w:rsidR="00A56E01" w:rsidRDefault="009907C0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>Настоящите технически спецификации се отнасят за ново (неупотребявано) оборудване, като при изготвянето им са съобразени разпоредбите на чл.47, ал.6, т.1 във връзка с ал.5 ЗОП, както и императивните изисквания на Глава шеста, Раздел II ЗОП.</w:t>
      </w:r>
    </w:p>
    <w:p w:rsidR="00A56E01" w:rsidRDefault="00A56E01">
      <w:pPr>
        <w:jc w:val="both"/>
        <w:rPr>
          <w:rFonts w:ascii="Trebuchet MS" w:hAnsi="Trebuchet MS" w:cs="Times New Roman"/>
          <w:b/>
        </w:rPr>
      </w:pP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698"/>
        <w:gridCol w:w="2846"/>
        <w:gridCol w:w="1418"/>
        <w:gridCol w:w="4252"/>
      </w:tblGrid>
      <w:tr w:rsidR="00A56E01">
        <w:tc>
          <w:tcPr>
            <w:tcW w:w="698" w:type="dxa"/>
            <w:shd w:val="clear" w:color="auto" w:fill="D9D9D9" w:themeFill="background1" w:themeFillShade="D9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№</w:t>
            </w:r>
          </w:p>
        </w:tc>
        <w:tc>
          <w:tcPr>
            <w:tcW w:w="2846" w:type="dxa"/>
            <w:shd w:val="clear" w:color="auto" w:fill="D9D9D9" w:themeFill="background1" w:themeFillShade="D9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Наименов</w:t>
            </w:r>
            <w:r>
              <w:rPr>
                <w:rFonts w:ascii="Trebuchet MS" w:hAnsi="Trebuchet MS" w:cs="Times New Roman"/>
              </w:rPr>
              <w:t>ание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Количество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Минимални изисквания</w:t>
            </w:r>
          </w:p>
        </w:tc>
      </w:tr>
      <w:tr w:rsidR="00A56E01">
        <w:tc>
          <w:tcPr>
            <w:tcW w:w="698" w:type="dxa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2846" w:type="dxa"/>
          </w:tcPr>
          <w:p w:rsidR="00A56E01" w:rsidRDefault="009907C0">
            <w:pPr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Ролков контейнер</w:t>
            </w:r>
          </w:p>
        </w:tc>
        <w:tc>
          <w:tcPr>
            <w:tcW w:w="1418" w:type="dxa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A56E01" w:rsidRDefault="009907C0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Ролков контейнер с товаро-разтоварно устройство тип „</w:t>
            </w:r>
            <w:proofErr w:type="spellStart"/>
            <w:r>
              <w:rPr>
                <w:rFonts w:ascii="Trebuchet MS" w:hAnsi="Trebuchet MS" w:cs="Times New Roman"/>
              </w:rPr>
              <w:t>хук-лифт</w:t>
            </w:r>
            <w:proofErr w:type="spellEnd"/>
            <w:r>
              <w:rPr>
                <w:rFonts w:ascii="Trebuchet MS" w:hAnsi="Trebuchet MS" w:cs="Times New Roman"/>
              </w:rPr>
              <w:t xml:space="preserve">“ с височина на </w:t>
            </w:r>
            <w:proofErr w:type="spellStart"/>
            <w:r>
              <w:rPr>
                <w:rFonts w:ascii="Trebuchet MS" w:hAnsi="Trebuchet MS" w:cs="Times New Roman"/>
              </w:rPr>
              <w:t>захват</w:t>
            </w:r>
            <w:proofErr w:type="spellEnd"/>
            <w:r>
              <w:rPr>
                <w:rFonts w:ascii="Trebuchet MS" w:hAnsi="Trebuchet MS" w:cs="Times New Roman"/>
              </w:rPr>
              <w:t xml:space="preserve"> на куката 1 570 mm, съгласно DIN 14505 или еквивалент. Габаритни размери:  6900/2500/2500 mm. С носеща рама, изработена от галванизирани стоманени профили. С 6 бр. обособени шкафа, по 3 бр. на всяка от дългите страни на контейнера. Шкафовете са оборудвани</w:t>
            </w:r>
            <w:r>
              <w:rPr>
                <w:rFonts w:ascii="Trebuchet MS" w:hAnsi="Trebuchet MS" w:cs="Times New Roman"/>
              </w:rPr>
              <w:t xml:space="preserve">  с вертикални врати - алуминиеви щори със заключващи устройства и фиксатори в крайно горно положение. Контейнерът е оборудван с преградни стени и плъзгащи се платформи и колички за оборудването. Над всеки шкаф са монтирани LED осветителни тела за </w:t>
            </w:r>
            <w:r>
              <w:rPr>
                <w:rFonts w:ascii="Trebuchet MS" w:hAnsi="Trebuchet MS" w:cs="Times New Roman"/>
              </w:rPr>
              <w:lastRenderedPageBreak/>
              <w:t>осветява</w:t>
            </w:r>
            <w:r>
              <w:rPr>
                <w:rFonts w:ascii="Trebuchet MS" w:hAnsi="Trebuchet MS" w:cs="Times New Roman"/>
              </w:rPr>
              <w:t xml:space="preserve">не района пред шкафовете, както и вътрешно LED осветление на шкафовете. Обособено е  помещение за бензиновия електрогенератор по т.2 в късата част на контейнера, намираща се над ролките, с двукрила врата, която се отваря навън. Помещението да е с осигурен </w:t>
            </w:r>
            <w:r>
              <w:rPr>
                <w:rFonts w:ascii="Trebuchet MS" w:hAnsi="Trebuchet MS" w:cs="Times New Roman"/>
              </w:rPr>
              <w:t xml:space="preserve">достъп на свеж въздух и възможност за отвеждане на отработените газове от генератора. Вратата да е оборудвана със заключваща и фиксираща системи. </w:t>
            </w:r>
          </w:p>
          <w:p w:rsidR="00A56E01" w:rsidRDefault="009907C0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На задната част на контейнера, в близост до генератора, да е монтирана телескопичната пневматична мачта, опис</w:t>
            </w:r>
            <w:r>
              <w:rPr>
                <w:rFonts w:ascii="Trebuchet MS" w:hAnsi="Trebuchet MS" w:cs="Times New Roman"/>
              </w:rPr>
              <w:t xml:space="preserve">ана в т.3 на настоящата спецификация. </w:t>
            </w:r>
          </w:p>
          <w:p w:rsidR="00A56E01" w:rsidRDefault="009907C0">
            <w:p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Основен цвят на контейнера: червен, RAL 3 000 или еквивалент.</w:t>
            </w:r>
          </w:p>
        </w:tc>
      </w:tr>
      <w:tr w:rsidR="00A56E01">
        <w:tc>
          <w:tcPr>
            <w:tcW w:w="698" w:type="dxa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2.</w:t>
            </w:r>
          </w:p>
        </w:tc>
        <w:tc>
          <w:tcPr>
            <w:tcW w:w="2846" w:type="dxa"/>
          </w:tcPr>
          <w:p w:rsidR="00A56E01" w:rsidRDefault="009907C0">
            <w:pPr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Бензинов електрогенератор</w:t>
            </w:r>
          </w:p>
        </w:tc>
        <w:tc>
          <w:tcPr>
            <w:tcW w:w="1418" w:type="dxa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A56E01" w:rsidRDefault="009907C0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Бензинов електрогенератор съответстващ на DIN 14685 или еквивалент, трайно монтиран в обособеното помещение на контейнера по т.1. 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Защита минимум IP 54. </w:t>
            </w:r>
            <w:r>
              <w:rPr>
                <w:rFonts w:ascii="Trebuchet MS" w:eastAsia="Times New Roman" w:hAnsi="Trebuchet MS" w:cs="Times New Roman"/>
                <w:bCs/>
                <w:lang w:eastAsia="bg-BG"/>
              </w:rPr>
              <w:t>Номинално напрежение 230V/400</w:t>
            </w:r>
            <w:r>
              <w:rPr>
                <w:rFonts w:ascii="Trebuchet MS" w:eastAsia="Times New Roman" w:hAnsi="Trebuchet MS" w:cs="Times New Roman"/>
                <w:bCs/>
                <w:lang w:val="en-US" w:eastAsia="bg-BG"/>
              </w:rPr>
              <w:t>V</w:t>
            </w:r>
            <w:r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. 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9000 VA (3~). 5000 VA (1~). Тегло ≤ 128 </w:t>
            </w:r>
            <w:proofErr w:type="spellStart"/>
            <w:r>
              <w:rPr>
                <w:rFonts w:ascii="Trebuchet MS" w:eastAsia="Times New Roman" w:hAnsi="Trebuchet MS" w:cs="Times New Roman"/>
                <w:lang w:eastAsia="bg-BG"/>
              </w:rPr>
              <w:t>kg</w:t>
            </w:r>
            <w:proofErr w:type="spellEnd"/>
            <w:r>
              <w:rPr>
                <w:rFonts w:ascii="Trebuchet MS" w:eastAsia="Times New Roman" w:hAnsi="Trebuchet MS" w:cs="Times New Roman"/>
                <w:lang w:eastAsia="bg-BG"/>
              </w:rPr>
              <w:t xml:space="preserve">. Вместимост на резервоара за гориво не по-малко от 10 l. Изводи: 3х230V 16A, 1x400V 16A CEE. </w:t>
            </w:r>
          </w:p>
          <w:p w:rsidR="00A56E01" w:rsidRDefault="009907C0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Окомплектован с: </w:t>
            </w:r>
          </w:p>
          <w:p w:rsidR="00A56E01" w:rsidRDefault="009907C0">
            <w:pPr>
              <w:pStyle w:val="a4"/>
              <w:numPr>
                <w:ilvl w:val="0"/>
                <w:numId w:val="2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Кабелни макари:</w:t>
            </w:r>
          </w:p>
          <w:p w:rsidR="00A56E01" w:rsidRDefault="009907C0">
            <w:pPr>
              <w:pStyle w:val="a4"/>
              <w:numPr>
                <w:ilvl w:val="0"/>
                <w:numId w:val="1"/>
              </w:numPr>
              <w:ind w:left="33" w:firstLine="284"/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1 бр. 230/400 V, с 25 m кабел 5G2.5. Изводи: 1 х СЕЕ 400 V16 А IP ≥ 67, 3 x 230 V 16 A IP ≥ 67. Вход СЕЕ 400 V16 А IP ≥67.</w:t>
            </w:r>
          </w:p>
          <w:p w:rsidR="00A56E01" w:rsidRDefault="009907C0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2 бр</w:t>
            </w:r>
            <w:r>
              <w:rPr>
                <w:rFonts w:ascii="Trebuchet MS" w:eastAsia="Times New Roman" w:hAnsi="Trebuchet MS" w:cs="Times New Roman"/>
                <w:lang w:eastAsia="bg-BG"/>
              </w:rPr>
              <w:t>. 230V, с 25 m кабел 3G2.5. Изводи: 3 x 230 V 16 A IP ≥ 67. Вход 230 V 16 A IP ≥ 67.</w:t>
            </w:r>
          </w:p>
          <w:p w:rsidR="00A56E01" w:rsidRDefault="009907C0">
            <w:pPr>
              <w:pStyle w:val="a4"/>
              <w:numPr>
                <w:ilvl w:val="0"/>
                <w:numId w:val="2"/>
              </w:num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Заземителен шиш: поцинкован, Т-образен, с дължина не по-</w:t>
            </w: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малко от 500 mm, комплект със заземителна скоба с перчат винт.</w:t>
            </w:r>
          </w:p>
          <w:p w:rsidR="00A56E01" w:rsidRDefault="009907C0">
            <w:pPr>
              <w:pStyle w:val="a4"/>
              <w:numPr>
                <w:ilvl w:val="0"/>
                <w:numId w:val="2"/>
              </w:num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Заземителен проводник: със сечение на проводника 16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mm</w:t>
            </w:r>
            <w:r>
              <w:rPr>
                <w:rFonts w:ascii="Trebuchet MS" w:eastAsia="Times New Roman" w:hAnsi="Trebuchet MS" w:cs="Times New Roman"/>
                <w:vertAlign w:val="superscript"/>
                <w:lang w:eastAsia="bg-BG"/>
              </w:rPr>
              <w:t>2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и дължина не по-малко от 10 m. С поцинковани клеми за присъединяване към генератора и заземителния шиш.</w:t>
            </w:r>
          </w:p>
          <w:p w:rsidR="00A56E01" w:rsidRDefault="009907C0">
            <w:pPr>
              <w:pStyle w:val="a4"/>
              <w:numPr>
                <w:ilvl w:val="0"/>
                <w:numId w:val="2"/>
              </w:numPr>
              <w:jc w:val="both"/>
              <w:rPr>
                <w:rFonts w:ascii="Trebuchet MS" w:hAnsi="Trebuchet MS" w:cs="Times New Roman"/>
              </w:rPr>
            </w:pPr>
            <w:proofErr w:type="spellStart"/>
            <w:r>
              <w:rPr>
                <w:rFonts w:ascii="Trebuchet MS" w:eastAsia="Times New Roman" w:hAnsi="Trebuchet MS" w:cs="Times New Roman"/>
                <w:lang w:eastAsia="bg-BG"/>
              </w:rPr>
              <w:t>Шлаух</w:t>
            </w:r>
            <w:proofErr w:type="spellEnd"/>
            <w:r>
              <w:rPr>
                <w:rFonts w:ascii="Trebuchet MS" w:eastAsia="Times New Roman" w:hAnsi="Trebuchet MS" w:cs="Times New Roman"/>
                <w:lang w:eastAsia="bg-BG"/>
              </w:rPr>
              <w:t xml:space="preserve"> за отвеждане на отработени газове: в съответствие с DIN 14572 или еквивалент. Дължина не по-малко от 2 m.</w:t>
            </w:r>
          </w:p>
          <w:p w:rsidR="00A56E01" w:rsidRDefault="009907C0">
            <w:pPr>
              <w:pStyle w:val="a4"/>
              <w:numPr>
                <w:ilvl w:val="0"/>
                <w:numId w:val="2"/>
              </w:numPr>
              <w:jc w:val="both"/>
              <w:rPr>
                <w:rFonts w:ascii="Trebuchet MS" w:hAnsi="Trebuchet MS" w:cs="Times New Roman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Туба метална за гориво: в съответств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ие с DIN 7274 или еквивалент, с вместимост 20 l и с накрайник за изливане.</w:t>
            </w:r>
          </w:p>
        </w:tc>
      </w:tr>
      <w:tr w:rsidR="00A56E01">
        <w:tc>
          <w:tcPr>
            <w:tcW w:w="698" w:type="dxa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3.</w:t>
            </w:r>
          </w:p>
        </w:tc>
        <w:tc>
          <w:tcPr>
            <w:tcW w:w="2846" w:type="dxa"/>
          </w:tcPr>
          <w:p w:rsidR="00A56E01" w:rsidRDefault="009907C0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Пневматична  телескопична мачта</w:t>
            </w:r>
          </w:p>
        </w:tc>
        <w:tc>
          <w:tcPr>
            <w:tcW w:w="1418" w:type="dxa"/>
          </w:tcPr>
          <w:p w:rsidR="00A56E01" w:rsidRDefault="009907C0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A56E01" w:rsidRDefault="009907C0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Телескопична стационарна пневматична мачта, издигаща се не по-малко от 3 m над  горната хоризонтална равнина (покрива) на контейнера, описан в т.1. Мачтата трябва да е оборудвана с 2 бр. халогенни прожектори с мощност на всеки един ≥ 1000 W/ 230 V, със сте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пен на защита ≥ ІР 54. Телескопичната стационарна мачта  да осигурява движение на осветителните тела (халогенните прожектори) в хоризонтална равнина от 0 до 360⁰ и във вертикална равнина не по-малко от 0 до 180⁰, с фиксиращо устройство след насочване в жел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аната посока. Мачтата да притежава функция прибиране и позициониране в транспортно положение. 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Халогенните прожектори да се захранват с ел. напрежение от описаният в т.2  бензинов генератор.</w:t>
            </w:r>
          </w:p>
        </w:tc>
      </w:tr>
    </w:tbl>
    <w:p w:rsidR="00A56E01" w:rsidRDefault="00A56E01">
      <w:pPr>
        <w:jc w:val="both"/>
        <w:rPr>
          <w:rFonts w:ascii="Trebuchet MS" w:hAnsi="Trebuchet MS" w:cs="Times New Roman"/>
          <w:b/>
        </w:rPr>
      </w:pPr>
    </w:p>
    <w:p w:rsidR="00A56E01" w:rsidRDefault="009907C0">
      <w:pPr>
        <w:pStyle w:val="Default"/>
        <w:ind w:firstLine="708"/>
        <w:jc w:val="both"/>
        <w:rPr>
          <w:rFonts w:cs="Times New Roman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lastRenderedPageBreak/>
        <w:t xml:space="preserve">Участникът, избран за Изпълнител, следва да осигури ползването </w:t>
      </w:r>
      <w:r>
        <w:rPr>
          <w:rFonts w:cs="Times New Roman"/>
          <w:sz w:val="22"/>
          <w:szCs w:val="22"/>
          <w:lang w:val="bg-BG"/>
        </w:rPr>
        <w:t>на оторизиран от производителя сервиз с необходимия капацитет и кадрова обезпеченост за комплексно гаранционно поддържане на контейнера и монтираните в него бензинов електрогенератор и пневматична телескопична мачта, включително и за всички техни части, ко</w:t>
      </w:r>
      <w:r>
        <w:rPr>
          <w:rFonts w:cs="Times New Roman"/>
          <w:sz w:val="22"/>
          <w:szCs w:val="22"/>
          <w:lang w:val="bg-BG"/>
        </w:rPr>
        <w:t>ито попадат в обхвата на гаранцията.</w:t>
      </w:r>
    </w:p>
    <w:p w:rsidR="00A56E01" w:rsidRDefault="009907C0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 xml:space="preserve">Участникът, избран за Изпълнител, следва да осигури пълно гаранционно обслужване за период, предложен от него в техническото му предложение, но не по-малко от 12 месеца, считано от датата на </w:t>
      </w:r>
      <w:r>
        <w:rPr>
          <w:rFonts w:cs="Times New Roman"/>
          <w:color w:val="auto"/>
          <w:sz w:val="22"/>
          <w:szCs w:val="22"/>
          <w:lang w:val="bg-BG"/>
        </w:rPr>
        <w:t>подписване на приемо-предава</w:t>
      </w:r>
      <w:r>
        <w:rPr>
          <w:rFonts w:cs="Times New Roman"/>
          <w:color w:val="auto"/>
          <w:sz w:val="22"/>
          <w:szCs w:val="22"/>
          <w:lang w:val="bg-BG"/>
        </w:rPr>
        <w:t xml:space="preserve">телен протокол за извършената доставка, при стриктно спазване на инструкциите за експлоатация. </w:t>
      </w:r>
    </w:p>
    <w:p w:rsidR="00A56E01" w:rsidRDefault="009907C0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Участникът трябва да е оторизиран от производителя или негов официален представител, в случай че участникът не е производител, да извършва гаранционна поддръжка на: </w:t>
      </w:r>
    </w:p>
    <w:p w:rsidR="00A56E01" w:rsidRDefault="009907C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• Ролков контейнер</w:t>
      </w:r>
    </w:p>
    <w:p w:rsidR="00A56E01" w:rsidRDefault="009907C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• Бензинов електрогенератор</w:t>
      </w:r>
    </w:p>
    <w:p w:rsidR="00A56E01" w:rsidRDefault="009907C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• Пневматична телескопична мачта с халогенн</w:t>
      </w:r>
      <w:r>
        <w:rPr>
          <w:rFonts w:cs="Times New Roman"/>
          <w:color w:val="auto"/>
          <w:sz w:val="22"/>
          <w:szCs w:val="22"/>
          <w:lang w:val="bg-BG"/>
        </w:rPr>
        <w:t>и прожектори</w:t>
      </w:r>
    </w:p>
    <w:p w:rsidR="00A56E01" w:rsidRDefault="009907C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Това обстоятелство се доказва с представяне на декларация или оторизационно писмо или всякакъв друг документ с превод на български език /когато е необходимо/, удостоверяващ, че участникът е оторизиран от производителя или негов официален предс</w:t>
      </w:r>
      <w:r>
        <w:rPr>
          <w:rFonts w:cs="Times New Roman"/>
          <w:color w:val="auto"/>
          <w:sz w:val="22"/>
          <w:szCs w:val="22"/>
          <w:lang w:val="bg-BG"/>
        </w:rPr>
        <w:t xml:space="preserve">тавител да извършва гаранционна поддръжка. Изискуемият документ се представя към техническото предложение на участниците и става неразделна част от него. </w:t>
      </w:r>
    </w:p>
    <w:p w:rsidR="00A56E01" w:rsidRDefault="009907C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процедурата следва да предостави към техническото си предложение проспекти и/или кат</w:t>
      </w:r>
      <w:r>
        <w:rPr>
          <w:rFonts w:cs="Times New Roman"/>
          <w:color w:val="auto"/>
          <w:sz w:val="22"/>
          <w:szCs w:val="22"/>
          <w:lang w:val="bg-BG"/>
        </w:rPr>
        <w:t xml:space="preserve">алози, и/или скици, и/или брошури или др. материали, представящи характеристиките на предлаганите ролков контейнер, бензинов електрогенератор и пневматична телескопична мачта с халогенни прожектори на български език. </w:t>
      </w:r>
    </w:p>
    <w:p w:rsidR="00A56E01" w:rsidRDefault="009907C0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процедурата следва да</w:t>
      </w:r>
      <w:r>
        <w:rPr>
          <w:rFonts w:cs="Times New Roman"/>
          <w:color w:val="auto"/>
          <w:sz w:val="22"/>
          <w:szCs w:val="22"/>
          <w:lang w:val="bg-BG"/>
        </w:rPr>
        <w:t xml:space="preserve"> предостави към техническото си предложение копия на декларации от производителите или сертификати за съответствие с посочените в техническата спецификация стандарти. </w:t>
      </w:r>
    </w:p>
    <w:p w:rsidR="00A56E01" w:rsidRDefault="009907C0">
      <w:pPr>
        <w:ind w:firstLine="567"/>
        <w:jc w:val="both"/>
        <w:rPr>
          <w:rFonts w:ascii="Trebuchet MS" w:hAnsi="Trebuchet MS"/>
        </w:rPr>
      </w:pPr>
      <w:r>
        <w:rPr>
          <w:rFonts w:ascii="Trebuchet MS" w:hAnsi="Trebuchet MS" w:cs="Times New Roman"/>
        </w:rPr>
        <w:t xml:space="preserve">Участникът следва да предостави към техническото си предложение чертежи на ролковия </w:t>
      </w:r>
      <w:r>
        <w:rPr>
          <w:rFonts w:ascii="Trebuchet MS" w:hAnsi="Trebuchet MS" w:cs="Times New Roman"/>
        </w:rPr>
        <w:t>контейнер с геометрични размери.</w:t>
      </w:r>
    </w:p>
    <w:sectPr w:rsidR="00A56E0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E01" w:rsidRDefault="009907C0">
      <w:pPr>
        <w:spacing w:after="0" w:line="240" w:lineRule="auto"/>
      </w:pPr>
      <w:r>
        <w:separator/>
      </w:r>
    </w:p>
  </w:endnote>
  <w:endnote w:type="continuationSeparator" w:id="0">
    <w:p w:rsidR="00A56E01" w:rsidRDefault="00990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01" w:rsidRDefault="009907C0">
    <w:pPr>
      <w:pStyle w:val="a9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56E01" w:rsidRDefault="009907C0">
    <w:pPr>
      <w:pStyle w:val="a9"/>
      <w:jc w:val="center"/>
      <w:rPr>
        <w:rFonts w:ascii="Trebuchet MS" w:hAnsi="Trebuchet MS"/>
        <w:sz w:val="18"/>
        <w:szCs w:val="18"/>
      </w:rPr>
    </w:pPr>
    <w:hyperlink r:id="rId2" w:history="1">
      <w:r>
        <w:rPr>
          <w:rStyle w:val="ab"/>
          <w:rFonts w:ascii="Trebuchet MS" w:hAnsi="Trebuchet MS"/>
          <w:sz w:val="18"/>
          <w:szCs w:val="18"/>
        </w:rPr>
        <w:t>www.Interregrobg.eu</w:t>
      </w:r>
    </w:hyperlink>
    <w:r>
      <w:rPr>
        <w:rFonts w:ascii="Trebuchet MS" w:hAnsi="Trebuchet MS"/>
        <w:sz w:val="18"/>
        <w:szCs w:val="18"/>
      </w:rPr>
      <w:t xml:space="preserve"> </w:t>
    </w:r>
  </w:p>
  <w:p w:rsidR="00A56E01" w:rsidRDefault="009907C0">
    <w:pPr>
      <w:pStyle w:val="a9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A56E01" w:rsidRDefault="009907C0">
    <w:pPr>
      <w:pStyle w:val="a9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 xml:space="preserve">Съдържанието на </w:t>
    </w:r>
    <w:r>
      <w:rPr>
        <w:rFonts w:ascii="Trebuchet MS" w:hAnsi="Trebuchet MS"/>
        <w:sz w:val="18"/>
        <w:szCs w:val="18"/>
      </w:rPr>
      <w:t>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A56E01" w:rsidRDefault="00A56E01">
    <w:pPr>
      <w:pStyle w:val="a9"/>
      <w:jc w:val="center"/>
      <w:rPr>
        <w:rFonts w:ascii="Trebuchet MS" w:hAnsi="Trebuchet MS"/>
        <w:sz w:val="18"/>
        <w:szCs w:val="18"/>
        <w:lang w:val="en-US"/>
      </w:rPr>
    </w:pPr>
  </w:p>
  <w:p w:rsidR="00A56E01" w:rsidRDefault="009907C0">
    <w:pPr>
      <w:pStyle w:val="a9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E01" w:rsidRDefault="009907C0">
      <w:pPr>
        <w:spacing w:after="0" w:line="240" w:lineRule="auto"/>
      </w:pPr>
      <w:r>
        <w:separator/>
      </w:r>
    </w:p>
  </w:footnote>
  <w:footnote w:type="continuationSeparator" w:id="0">
    <w:p w:rsidR="00A56E01" w:rsidRDefault="00990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E01" w:rsidRDefault="009907C0">
    <w:pPr>
      <w:pStyle w:val="a7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56E01" w:rsidRDefault="00A56E01">
    <w:pPr>
      <w:pStyle w:val="a7"/>
      <w:rPr>
        <w:lang w:val="en-US"/>
      </w:rPr>
    </w:pPr>
  </w:p>
  <w:p w:rsidR="00A56E01" w:rsidRDefault="00A56E01">
    <w:pPr>
      <w:pStyle w:val="a7"/>
      <w:rPr>
        <w:lang w:val="en-US"/>
      </w:rPr>
    </w:pPr>
  </w:p>
  <w:p w:rsidR="00A56E01" w:rsidRDefault="00A56E01">
    <w:pPr>
      <w:pStyle w:val="a7"/>
      <w:rPr>
        <w:lang w:val="en-US"/>
      </w:rPr>
    </w:pPr>
  </w:p>
  <w:p w:rsidR="00A56E01" w:rsidRDefault="00A56E01">
    <w:pPr>
      <w:pStyle w:val="a7"/>
      <w:rPr>
        <w:lang w:val="en-US"/>
      </w:rPr>
    </w:pPr>
  </w:p>
  <w:p w:rsidR="00A56E01" w:rsidRDefault="009907C0">
    <w:pPr>
      <w:pStyle w:val="a7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I. </w:t>
    </w:r>
    <w:r>
      <w:rPr>
        <w:rFonts w:ascii="Trebuchet MS" w:hAnsi="Trebuchet MS"/>
        <w:b/>
      </w:rPr>
      <w:t>ТЕХНИЧЕСКИ СПЕЦИФИКАЦИИ</w:t>
    </w:r>
  </w:p>
  <w:p w:rsidR="00A56E01" w:rsidRDefault="00A56E01">
    <w:pPr>
      <w:pStyle w:val="a7"/>
    </w:pPr>
  </w:p>
  <w:p w:rsidR="00A56E01" w:rsidRDefault="00A56E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01"/>
    <w:rsid w:val="009907C0"/>
    <w:rsid w:val="00A5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Pr>
      <w:rFonts w:ascii="Segoe UI" w:hAnsi="Segoe UI" w:cs="Segoe UI"/>
      <w:sz w:val="18"/>
      <w:szCs w:val="18"/>
      <w:lang w:val="bg-BG"/>
    </w:rPr>
  </w:style>
  <w:style w:type="paragraph" w:styleId="a7">
    <w:name w:val="header"/>
    <w:aliases w:val="(17) EPR Header,Знак Знак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aliases w:val="(17) EPR Header Знак,Знак Знак Знак"/>
    <w:basedOn w:val="a0"/>
    <w:link w:val="a7"/>
    <w:uiPriority w:val="99"/>
    <w:rPr>
      <w:lang w:val="bg-BG"/>
    </w:rPr>
  </w:style>
  <w:style w:type="paragraph" w:styleId="a9">
    <w:name w:val="footer"/>
    <w:basedOn w:val="a"/>
    <w:link w:val="aa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Pr>
      <w:lang w:val="bg-BG"/>
    </w:rPr>
  </w:style>
  <w:style w:type="character" w:styleId="ab">
    <w:name w:val="Hyperlink"/>
    <w:basedOn w:val="a0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Pr>
      <w:rFonts w:ascii="Segoe UI" w:hAnsi="Segoe UI" w:cs="Segoe UI"/>
      <w:sz w:val="18"/>
      <w:szCs w:val="18"/>
      <w:lang w:val="bg-BG"/>
    </w:rPr>
  </w:style>
  <w:style w:type="paragraph" w:styleId="a7">
    <w:name w:val="header"/>
    <w:aliases w:val="(17) EPR Header,Знак Знак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aliases w:val="(17) EPR Header Знак,Знак Знак Знак"/>
    <w:basedOn w:val="a0"/>
    <w:link w:val="a7"/>
    <w:uiPriority w:val="99"/>
    <w:rPr>
      <w:lang w:val="bg-BG"/>
    </w:rPr>
  </w:style>
  <w:style w:type="paragraph" w:styleId="a9">
    <w:name w:val="footer"/>
    <w:basedOn w:val="a"/>
    <w:link w:val="aa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Pr>
      <w:lang w:val="bg-BG"/>
    </w:rPr>
  </w:style>
  <w:style w:type="character" w:styleId="ab">
    <w:name w:val="Hyperlink"/>
    <w:basedOn w:val="a0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941</Words>
  <Characters>5366</Characters>
  <Application>Microsoft Office Word</Application>
  <DocSecurity>0</DocSecurity>
  <Lines>44</Lines>
  <Paragraphs>12</Paragraphs>
  <ScaleCrop>false</ScaleCrop>
  <Company/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2020-02-25T14:45:00Z</dcterms:created>
  <dcterms:modified xsi:type="dcterms:W3CDTF">2020-04-01T12:47:00Z</dcterms:modified>
</cp:coreProperties>
</file>